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ème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CONGRÈS FRANCOPHONE D’ANALYSE TRANSACTIONNELLE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b22222"/>
          <w:sz w:val="28"/>
          <w:szCs w:val="28"/>
          <w:u w:val="none"/>
          <w:shd w:fill="auto" w:val="clear"/>
          <w:vertAlign w:val="baseline"/>
          <w:rtl w:val="0"/>
        </w:rPr>
        <w:t xml:space="preserve">« Liberté, Autonomie : Grandir dans un monde connecté et interdépendant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souhaitez proposer un atelier pour notre prochain congrès, et nous en sommes ravis.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vous faire une idée plus précise du processus et du thème, nous vous invitons à 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lire le formulaire, la présentation et le flyer avant de compléter ce document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écouter la vidéo du président IFAT sur le thème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lire la section “critères d’évaluation” ci-dessous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Ces critères seront la base de travail pour les membres du CECS (Comité d’évaluation, conseil et sélection des ateliers) qui recevront chacune de vos propositions après anonymisation.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réception de votre proposition d’atelier, vous recevrez un accusé de réception vous donnant toutes les informations sur la suite.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Vos propositions sont à retourner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avant le 07 Avril 2020 inclus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Corinne Laurier cecs@ifat-asso.org - l’ensemble des ateliers seront d’une durée de 1h30.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Critères d’évaluation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 critères retenus pour évaluer la pertinence et la qualité des ateliers sont les suivants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titre de l’atelier et le contenu présenté sont en relation avec le thème retenu pour le congrès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thématique est clairement formulée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texte de présentation fait référence à un corpus théorique ou à une pratique en lien avec l’analyse transactionnelle et, le cas échéant, avec d’autres approches identifiables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L’atelier proposé témoigne d’une réflexion et/ou une expérience approfondie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L’apport pour les participants est clairement identifié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pédagogie décrite est en cohérence avec les objectifs annoncés et le public visé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programme de l’atelier précise le type de public attendu pour l’atelier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Précisions 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 à 300 mots pour le texte de présentation constituent une base nécessaire pour les membres du Comité d’Évaluation, Conseil et Sélection afin d’évaluer votre proposition.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bibliographie permet de situer le cadre de référence de la contribution proposée.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FORMULAIRE - PROPOSITION ATELIER </w:t>
        <w:br w:type="textWrapping"/>
        <w:t xml:space="preserve">SÈTE 2020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Merci de remplir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tous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 champs en vous appuyant sur les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critères d’évaluation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mentionnés ci-dessus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8"/>
          <w:szCs w:val="28"/>
          <w:u w:val="none"/>
        </w:rPr>
      </w:pPr>
      <w:bookmarkStart w:colFirst="0" w:colLast="0" w:name="_1fob9te" w:id="2"/>
      <w:bookmarkEnd w:id="2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Atelier animé  :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Les personnes en formation d’analyse transactionnelle peuvent présenter un atelier dans le cadre du congrès en co-animation avec un/e analyste transactionnel/le certifié/e.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2et92p0" w:id="4"/>
      <w:bookmarkEnd w:id="4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tyjcwt" w:id="5"/>
      <w:bookmarkEnd w:id="5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Titre en AT / champs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3dy6vkm" w:id="6"/>
      <w:bookmarkEnd w:id="6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1t3h5sf" w:id="7"/>
      <w:bookmarkEnd w:id="7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4d34og8" w:id="8"/>
      <w:bookmarkEnd w:id="8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email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2s8eyo1" w:id="9"/>
      <w:bookmarkEnd w:id="9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Adhérent de l’association 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" w:cs="Times" w:eastAsia="Times" w:hAnsi="Times"/>
          <w:i w:val="0"/>
          <w:color w:val="000000"/>
          <w:sz w:val="28"/>
          <w:szCs w:val="28"/>
          <w:u w:val="none"/>
        </w:rPr>
      </w:pPr>
      <w:bookmarkStart w:colFirst="0" w:colLast="0" w:name="_17dp8vu" w:id="10"/>
      <w:bookmarkEnd w:id="1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 co-animé par 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3rdcrjn" w:id="11"/>
      <w:bookmarkEnd w:id="11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Titre en AT / champ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email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26in1rg" w:id="12"/>
      <w:bookmarkEnd w:id="12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Adhérent de l’association 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" w:cs="Times" w:eastAsia="Times" w:hAnsi="Times"/>
          <w:i w:val="0"/>
          <w:color w:val="000000"/>
          <w:sz w:val="28"/>
          <w:szCs w:val="28"/>
          <w:u w:val="none"/>
        </w:rPr>
      </w:pPr>
      <w:bookmarkStart w:colFirst="0" w:colLast="0" w:name="_lnxbz9" w:id="13"/>
      <w:bookmarkEnd w:id="13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Présentation de l’atelier - Durée 1h30 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bookmarkStart w:colFirst="0" w:colLast="0" w:name="_35nkun2" w:id="14"/>
      <w:bookmarkEnd w:id="14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Titre 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ciblé (niveau, champ…)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Pré-requis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maximum de participants 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Objectifs 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décrivez ce que les participants auront la possibilité d’apprendre (en 50 mots maximum)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quoi votre atelier est en lien avec le thème du congrès ?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Résumé du contenu de l’atelier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200 à 300 mots :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Précision : Dans le cas d’exposés sur la pratique, la mention d’éléments de contexte (cadre professionnel ou institutionnel de l’intervention, type de clients, etc.) est nécessaire.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Méthode d’animation :</w:t>
        <w:br w:type="textWrapping"/>
        <w:br w:type="textWrapping"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" w:cs="Times" w:eastAsia="Times" w:hAnsi="Times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Bibliographie indicative 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417" w:top="85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4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IFAT – association loi 1901 – 24 Avenue de Clichy 75009 Paris - 06 82 00 36 58</w:t>
      <w:br w:type="textWrapping"/>
      <w:t xml:space="preserve">Association officielle pour l’éthique, la promotion et le développement de l’AT en France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4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28750" cy="276225"/>
          <wp:effectExtent b="0" l="0" r="0" t="0"/>
          <wp:docPr descr="image1.png" id="3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276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32246" cy="482917"/>
          <wp:effectExtent b="0" l="0" r="0" t="0"/>
          <wp:docPr descr="image3.png" id="2" name="image3.png"/>
          <a:graphic>
            <a:graphicData uri="http://schemas.openxmlformats.org/drawingml/2006/picture">
              <pic:pic>
                <pic:nvPicPr>
                  <pic:cNvPr descr="image3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2246" cy="482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2210116</wp:posOffset>
          </wp:positionH>
          <wp:positionV relativeFrom="paragraph">
            <wp:posOffset>0</wp:posOffset>
          </wp:positionV>
          <wp:extent cx="1346400" cy="838800"/>
          <wp:effectExtent b="0" l="0" r="0" t="0"/>
          <wp:wrapSquare wrapText="bothSides" distB="0" distT="0" distL="0" distR="0"/>
          <wp:docPr descr="image2.png" id="1" name="image2.png"/>
          <a:graphic>
            <a:graphicData uri="http://schemas.openxmlformats.org/drawingml/2006/picture">
              <pic:pic>
                <pic:nvPicPr>
                  <pic:cNvPr descr="image2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400" cy="838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○"/>
      <w:lvlJc w:val="left"/>
      <w:pPr>
        <w:ind w:left="420" w:hanging="4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○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○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○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○"/>
      <w:lvlJc w:val="left"/>
      <w:pPr>
        <w:ind w:left="68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792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○"/>
      <w:lvlJc w:val="left"/>
      <w:pPr>
        <w:ind w:left="900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43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50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50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50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○"/>
      <w:lvlJc w:val="left"/>
      <w:pPr>
        <w:ind w:left="420" w:hanging="4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2">
      <w:start w:val="1"/>
      <w:numFmt w:val="bullet"/>
      <w:lvlText w:val="○"/>
      <w:lvlJc w:val="left"/>
      <w:pPr>
        <w:ind w:left="252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3">
      <w:start w:val="1"/>
      <w:numFmt w:val="bullet"/>
      <w:lvlText w:val="○"/>
      <w:lvlJc w:val="left"/>
      <w:pPr>
        <w:ind w:left="360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5">
      <w:start w:val="1"/>
      <w:numFmt w:val="bullet"/>
      <w:lvlText w:val="○"/>
      <w:lvlJc w:val="left"/>
      <w:pPr>
        <w:ind w:left="576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6">
      <w:start w:val="1"/>
      <w:numFmt w:val="bullet"/>
      <w:lvlText w:val="○"/>
      <w:lvlJc w:val="left"/>
      <w:pPr>
        <w:ind w:left="684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792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8">
      <w:start w:val="1"/>
      <w:numFmt w:val="bullet"/>
      <w:lvlText w:val="○"/>
      <w:lvlJc w:val="left"/>
      <w:pPr>
        <w:ind w:left="9000" w:hanging="360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○"/>
      <w:lvlJc w:val="left"/>
      <w:pPr>
        <w:ind w:left="420" w:hanging="4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○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○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○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○"/>
      <w:lvlJc w:val="left"/>
      <w:pPr>
        <w:ind w:left="68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792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○"/>
      <w:lvlJc w:val="left"/>
      <w:pPr>
        <w:ind w:left="900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